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3DD4CF7A" w14:textId="674F821B" w:rsidR="00EE22E4" w:rsidRDefault="00AC549A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Tip na víkend: </w:t>
      </w:r>
      <w:r w:rsidR="005833F1" w:rsidRPr="005833F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Zaž</w:t>
      </w:r>
      <w:r w:rsidR="00B34AB9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ijte</w:t>
      </w:r>
      <w:r w:rsidR="005833F1" w:rsidRPr="005833F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tvarůžky všemi smysly</w:t>
      </w:r>
      <w:r w:rsidR="005833F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. </w:t>
      </w:r>
      <w:r w:rsidR="00EE22E4" w:rsidRPr="00EE22E4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Muzeum </w:t>
      </w:r>
      <w:r w:rsidR="000B0957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O</w:t>
      </w:r>
      <w:r w:rsidR="00EE22E4" w:rsidRPr="00EE22E4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lomouckých tvarůžků zve na Den otevřených dveří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</w:p>
    <w:p w14:paraId="6951CB0A" w14:textId="77777777" w:rsidR="00EE22E4" w:rsidRPr="00797B09" w:rsidRDefault="00EE22E4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3E303CB" w14:textId="562562FF" w:rsidR="005833F1" w:rsidRDefault="00166F8D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AC549A">
        <w:rPr>
          <w:rFonts w:ascii="Arial" w:hAnsi="Arial" w:cs="Arial"/>
          <w:sz w:val="22"/>
          <w:szCs w:val="22"/>
        </w:rPr>
        <w:t>1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AC549A">
        <w:rPr>
          <w:rFonts w:ascii="Arial" w:hAnsi="Arial" w:cs="Arial"/>
          <w:sz w:val="22"/>
          <w:szCs w:val="22"/>
        </w:rPr>
        <w:t>září</w:t>
      </w:r>
      <w:r w:rsidR="00AB3BC4">
        <w:rPr>
          <w:rFonts w:ascii="Arial" w:hAnsi="Arial" w:cs="Arial"/>
          <w:sz w:val="22"/>
          <w:szCs w:val="22"/>
        </w:rPr>
        <w:t xml:space="preserve"> 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9E7E71">
        <w:rPr>
          <w:rFonts w:ascii="Arial" w:hAnsi="Arial" w:cs="Arial"/>
          <w:b/>
          <w:bCs/>
          <w:sz w:val="22"/>
          <w:szCs w:val="22"/>
        </w:rPr>
        <w:t xml:space="preserve">Pohodový den pro celou rodinu na jednom místě. </w:t>
      </w:r>
      <w:r w:rsidR="005833F1" w:rsidRPr="005833F1">
        <w:rPr>
          <w:rFonts w:ascii="Arial" w:hAnsi="Arial" w:cs="Arial"/>
          <w:b/>
          <w:bCs/>
          <w:sz w:val="22"/>
          <w:szCs w:val="22"/>
        </w:rPr>
        <w:t xml:space="preserve">V sobotu 6. září 2025 ožijí Loštice vůní a chutí tvarůžků. Muzeum Olomouckých tvarůžků zve od 10 do 17 hodin na Den otevřených dveří plný zábavy pro děti i dospělé. </w:t>
      </w:r>
      <w:r w:rsidR="009E7E71">
        <w:rPr>
          <w:rFonts w:ascii="Arial" w:hAnsi="Arial" w:cs="Arial"/>
          <w:b/>
          <w:bCs/>
          <w:sz w:val="22"/>
          <w:szCs w:val="22"/>
        </w:rPr>
        <w:t>Pestrý program pro všechny generace nabídne</w:t>
      </w:r>
      <w:r w:rsidR="005833F1" w:rsidRPr="005833F1">
        <w:rPr>
          <w:rFonts w:ascii="Arial" w:hAnsi="Arial" w:cs="Arial"/>
          <w:b/>
          <w:bCs/>
          <w:sz w:val="22"/>
          <w:szCs w:val="22"/>
        </w:rPr>
        <w:t xml:space="preserve"> tvořivé dílny, hry, ochutnávky </w:t>
      </w:r>
      <w:r w:rsidR="009E7E71">
        <w:rPr>
          <w:rFonts w:ascii="Arial" w:hAnsi="Arial" w:cs="Arial"/>
          <w:b/>
          <w:bCs/>
          <w:sz w:val="22"/>
          <w:szCs w:val="22"/>
        </w:rPr>
        <w:t>nebo</w:t>
      </w:r>
      <w:r w:rsidR="005833F1" w:rsidRPr="005833F1">
        <w:rPr>
          <w:rFonts w:ascii="Arial" w:hAnsi="Arial" w:cs="Arial"/>
          <w:b/>
          <w:bCs/>
          <w:sz w:val="22"/>
          <w:szCs w:val="22"/>
        </w:rPr>
        <w:t xml:space="preserve"> speciální program na nádvoří </w:t>
      </w:r>
      <w:r w:rsidR="009E7E71">
        <w:rPr>
          <w:rFonts w:ascii="Arial" w:hAnsi="Arial" w:cs="Arial"/>
          <w:b/>
          <w:bCs/>
          <w:sz w:val="22"/>
          <w:szCs w:val="22"/>
        </w:rPr>
        <w:t>a</w:t>
      </w:r>
      <w:r w:rsidR="005833F1" w:rsidRPr="005833F1">
        <w:rPr>
          <w:rFonts w:ascii="Arial" w:hAnsi="Arial" w:cs="Arial"/>
          <w:b/>
          <w:bCs/>
          <w:sz w:val="22"/>
          <w:szCs w:val="22"/>
        </w:rPr>
        <w:t xml:space="preserve"> uvnitř muzea. Vstup je celý den zdarma.</w:t>
      </w:r>
    </w:p>
    <w:p w14:paraId="40005A47" w14:textId="77777777" w:rsidR="005833F1" w:rsidRDefault="005833F1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3E070A" w14:textId="66763643" w:rsidR="00EE22E4" w:rsidRPr="009E7E71" w:rsidRDefault="00EE22E4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Přímo v expozici muzea se děti mohou zapojit do tvarůžkové hry, při níž budou hledat odpovědi na otázky z muzejní expozice</w:t>
      </w:r>
      <w:r w:rsidR="00DD169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, p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ři</w:t>
      </w:r>
      <w:r w:rsidR="004F4CD9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chystán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je také tvarůžkový kvíz </w:t>
      </w:r>
      <w:r w:rsidR="004F4CD9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pro starší děti a dospělé 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dostupný přes QR kód, ochutnávka Olomouckých tvarůž</w:t>
      </w:r>
      <w:r w:rsidR="004F4CD9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ků s nejoblíbenějšími příchutěmi koření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možnost vyzkoušet si tradiční „klapání“ tvarůžků z tvarohu </w:t>
      </w:r>
      <w:r w:rsidR="004F4CD9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na 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historické klapač</w:t>
      </w:r>
      <w:r w:rsidR="004F4CD9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ce</w:t>
      </w:r>
      <w:r w:rsidR="005833F1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šlapání tvarohu na trenažéru 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nebo pořídit si tematickou fotografii ve </w:t>
      </w:r>
      <w:proofErr w:type="spellStart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fotokoutku</w:t>
      </w:r>
      <w:proofErr w:type="spellEnd"/>
      <w:r w:rsidR="00AC549A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51DC108E" w14:textId="77777777" w:rsidR="00AC549A" w:rsidRPr="009E7E71" w:rsidRDefault="00AC549A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30CFD46B" w14:textId="15FD5D75" w:rsidR="00AC549A" w:rsidRPr="009E7E71" w:rsidRDefault="00AC549A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„Den otevřených dveří je pro nás příležitostí ukázat muzeum v trochu jiné podobě, než jak ho lidé znají z běžné návštěvy. Připravili jsme program, který propojuje historii Olomouckých tvarůžků s hrami, ochutnávkami a aktivitami pro všechny generace. Chceme, aby si lidé odnesli nejen hezké zážitky, ale </w:t>
      </w:r>
      <w:r w:rsidR="004F4CD9"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také</w:t>
      </w:r>
      <w:r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kousek </w:t>
      </w:r>
      <w:r w:rsidR="004F4CD9"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jedinečného tvarůžkového </w:t>
      </w:r>
      <w:r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příběh</w:t>
      </w:r>
      <w:r w:rsidR="004F4CD9"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u</w:t>
      </w:r>
      <w:r w:rsidRPr="009E7E71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9E7E71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říká Leoš Kalandra, vedoucí obchodu a marketingu společnosti A. W., výrobce Olomouckých tvarůžků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02F2FD2E" w14:textId="77777777" w:rsidR="0059611F" w:rsidRPr="009E7E71" w:rsidRDefault="0059611F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3EE77C51" w14:textId="75167424" w:rsidR="0059611F" w:rsidRPr="009E7E71" w:rsidRDefault="0059611F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Na nádvoří se představí </w:t>
      </w:r>
      <w:proofErr w:type="spellStart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Eurocentrum</w:t>
      </w:r>
      <w:proofErr w:type="spellEnd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informační středisko Ministerstva pro místní rozvoj ČR, se sérií interaktivních stanovišť. Návštěvníci si vyrobí vlastní placku na </w:t>
      </w:r>
      <w:proofErr w:type="spellStart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plackovačce</w:t>
      </w:r>
      <w:proofErr w:type="spellEnd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otestují si znalosti při hledání známých míst na slepé mapě České republiky nebo si vyzkouší velkoformátové Člověče, nezlob se s cestovatelským motivem. Díky virtuální realitě bude možné zažít i netradiční „průlet“ nad ČR. Program doplní desková hra </w:t>
      </w:r>
      <w:r w:rsidR="005833F1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„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Najdi hvězdu</w:t>
      </w:r>
      <w:r w:rsidR="005833F1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“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kolo štěstí s drobnými odměnami.</w:t>
      </w:r>
    </w:p>
    <w:p w14:paraId="45A0F04F" w14:textId="77777777" w:rsidR="00EE22E4" w:rsidRPr="009E7E71" w:rsidRDefault="00EE22E4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5F32A45E" w14:textId="551BC584" w:rsidR="00EE22E4" w:rsidRPr="009E7E71" w:rsidRDefault="00EE22E4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Po celý den bude možné se občerstvit v </w:t>
      </w:r>
      <w:proofErr w:type="spellStart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loštickém</w:t>
      </w:r>
      <w:proofErr w:type="spellEnd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bistru Ve </w:t>
      </w:r>
      <w:proofErr w:type="spellStart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vokně</w:t>
      </w:r>
      <w:proofErr w:type="spellEnd"/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které bude mít na nádvoří muzea vlastní stánek. </w:t>
      </w:r>
      <w:r w:rsidR="005833F1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Kompletní sortiment Olomouckých tvarůžků bude k dispozici ve vedlejší podnikové prodejně, která </w:t>
      </w:r>
      <w:r w:rsidR="00F61D7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přímo </w:t>
      </w:r>
      <w:r w:rsidR="005833F1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navazuje na muzejní expozici.</w:t>
      </w:r>
    </w:p>
    <w:p w14:paraId="32868A87" w14:textId="77777777" w:rsidR="00AC549A" w:rsidRPr="009E7E71" w:rsidRDefault="00AC549A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5513E93F" w14:textId="60B74D9F" w:rsidR="00AC549A" w:rsidRPr="009E7E71" w:rsidRDefault="00AC549A" w:rsidP="000B0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Muzeum Olomouckých tvarůžků je jediné muzeum svého typu v České republice</w:t>
      </w:r>
      <w:r w:rsidR="00B34AB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Od 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otevření v roce 2014</w:t>
      </w:r>
      <w:r w:rsidR="00B34AB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do muzea zavítalo již 260 000 návštěvníků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Den otevřených dveří </w:t>
      </w:r>
      <w:r w:rsidR="005833F1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pořádá </w:t>
      </w:r>
      <w:r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společnost A.W. spol. s r.o. ve spolupráci s Ministerstvem pro místní rozvoj</w:t>
      </w:r>
      <w:r w:rsidR="004F4CD9" w:rsidRPr="009E7E71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České republiky.</w:t>
      </w:r>
    </w:p>
    <w:p w14:paraId="72CCC0FC" w14:textId="77777777" w:rsidR="00EE22E4" w:rsidRDefault="00EE22E4" w:rsidP="00EE2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F485739" w:rsidR="007A5CD4" w:rsidRPr="00655FE7" w:rsidRDefault="007A5CD4" w:rsidP="00AB3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6E06DD23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2" w:name="_Hlk155336318"/>
      <w:bookmarkEnd w:id="0"/>
      <w:bookmarkEnd w:id="1"/>
      <w:r w:rsidRPr="0036548B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2"/>
    <w:p w14:paraId="185E6BD2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 manželkou. Název současné společnosti A.W. spol. s r.o. získala firma podle Aloise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Pivného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(zeť Aloise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). </w:t>
      </w:r>
    </w:p>
    <w:p w14:paraId="795B2489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895A663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zeměpisné označení. V roce 2014 bylo otevřeno nové Muzeum Olomouckých tvarůžků v Lošticích jako jediné muzeum svého typu v České republice. </w:t>
      </w:r>
    </w:p>
    <w:p w14:paraId="601CFF4D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37B16EC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342B2F6E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77C764AD" w14:textId="77777777" w:rsidR="0036548B" w:rsidRPr="0036548B" w:rsidRDefault="0036548B" w:rsidP="00365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jsou vhodné i pro bezlepkovou dietu. Obsahují plnohodnotné bílkoviny, vápník a díky malému obsahu tuku mají nízkou energetickou hodnotu. Olomoucké tvarůžky jsou původním českým sýrem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43B3" w14:textId="77777777" w:rsidR="008765DD" w:rsidRDefault="008765DD">
      <w:r>
        <w:separator/>
      </w:r>
    </w:p>
  </w:endnote>
  <w:endnote w:type="continuationSeparator" w:id="0">
    <w:p w14:paraId="0543BF6E" w14:textId="77777777" w:rsidR="008765DD" w:rsidRDefault="0087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2DFB" w14:textId="77777777" w:rsidR="008765DD" w:rsidRDefault="008765DD">
      <w:r>
        <w:separator/>
      </w:r>
    </w:p>
  </w:footnote>
  <w:footnote w:type="continuationSeparator" w:id="0">
    <w:p w14:paraId="602EAA32" w14:textId="77777777" w:rsidR="008765DD" w:rsidRDefault="0087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1464">
    <w:abstractNumId w:val="3"/>
  </w:num>
  <w:num w:numId="2" w16cid:durableId="62799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525618">
    <w:abstractNumId w:val="9"/>
  </w:num>
  <w:num w:numId="4" w16cid:durableId="641227695">
    <w:abstractNumId w:val="4"/>
  </w:num>
  <w:num w:numId="5" w16cid:durableId="1712919519">
    <w:abstractNumId w:val="10"/>
  </w:num>
  <w:num w:numId="6" w16cid:durableId="1893148204">
    <w:abstractNumId w:val="8"/>
  </w:num>
  <w:num w:numId="7" w16cid:durableId="134033880">
    <w:abstractNumId w:val="0"/>
  </w:num>
  <w:num w:numId="8" w16cid:durableId="1210916616">
    <w:abstractNumId w:val="2"/>
  </w:num>
  <w:num w:numId="9" w16cid:durableId="919824465">
    <w:abstractNumId w:val="6"/>
  </w:num>
  <w:num w:numId="10" w16cid:durableId="1097798625">
    <w:abstractNumId w:val="7"/>
  </w:num>
  <w:num w:numId="11" w16cid:durableId="43636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410D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0957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44F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47128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8799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2F71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473D"/>
    <w:rsid w:val="0036070A"/>
    <w:rsid w:val="0036301A"/>
    <w:rsid w:val="0036416A"/>
    <w:rsid w:val="00365284"/>
    <w:rsid w:val="0036548B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97A1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C5A9B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CD9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3F1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9611F"/>
    <w:rsid w:val="005A1AE4"/>
    <w:rsid w:val="005A461B"/>
    <w:rsid w:val="005A69EF"/>
    <w:rsid w:val="005A6B38"/>
    <w:rsid w:val="005A6E89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9B2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D03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45D7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179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04D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65F4"/>
    <w:rsid w:val="00787F2C"/>
    <w:rsid w:val="00790537"/>
    <w:rsid w:val="00790C76"/>
    <w:rsid w:val="007917CD"/>
    <w:rsid w:val="00791AFF"/>
    <w:rsid w:val="00791E80"/>
    <w:rsid w:val="00794728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3CF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388D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74607"/>
    <w:rsid w:val="008765DD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1448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E7E71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1773C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470C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3BC4"/>
    <w:rsid w:val="00AB4921"/>
    <w:rsid w:val="00AB4B70"/>
    <w:rsid w:val="00AB4D3E"/>
    <w:rsid w:val="00AB6215"/>
    <w:rsid w:val="00AB6B9D"/>
    <w:rsid w:val="00AC086A"/>
    <w:rsid w:val="00AC549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4AB9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B3363"/>
    <w:rsid w:val="00BC2598"/>
    <w:rsid w:val="00BC4741"/>
    <w:rsid w:val="00BC50DE"/>
    <w:rsid w:val="00BC54D4"/>
    <w:rsid w:val="00BC6E22"/>
    <w:rsid w:val="00BD32F2"/>
    <w:rsid w:val="00BD35C7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A51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3E2B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1697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327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22E4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53B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1D79"/>
    <w:rsid w:val="00F66227"/>
    <w:rsid w:val="00F70904"/>
    <w:rsid w:val="00F71349"/>
    <w:rsid w:val="00F77B43"/>
    <w:rsid w:val="00F809F7"/>
    <w:rsid w:val="00F828B5"/>
    <w:rsid w:val="00F86463"/>
    <w:rsid w:val="00F87031"/>
    <w:rsid w:val="00F933DB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17B9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734E7B73-9906-4EB8-A403-7B519F5F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C9B0-62F5-4A80-8E41-420DCA6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Leoš Kalandra</cp:lastModifiedBy>
  <cp:revision>9</cp:revision>
  <cp:lastPrinted>2022-10-26T09:21:00Z</cp:lastPrinted>
  <dcterms:created xsi:type="dcterms:W3CDTF">2025-08-25T12:02:00Z</dcterms:created>
  <dcterms:modified xsi:type="dcterms:W3CDTF">2025-09-01T08:57:00Z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